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157"/>
        <w:spacing w:lineRule="auto" w:line="36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</w:t>
      </w:r>
      <w:r>
        <w:rPr>
          <w:b/>
          <w:sz w:val="24"/>
          <w:szCs w:val="24"/>
        </w:rPr>
        <w:t xml:space="preserve">Недели </w:t>
      </w:r>
      <w:r>
        <w:rPr>
          <w:b/>
          <w:sz w:val="24"/>
          <w:szCs w:val="24"/>
        </w:rPr>
        <w:t xml:space="preserve">правовой помощи </w:t>
      </w:r>
      <w:r>
        <w:rPr>
          <w:b/>
          <w:sz w:val="24"/>
          <w:szCs w:val="24"/>
        </w:rPr>
        <w:t>семьям</w:t>
      </w:r>
    </w:p>
    <w:p>
      <w:pPr>
        <w:pStyle w:val="style157"/>
        <w:spacing w:lineRule="auto" w:line="36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образовательных орган</w:t>
      </w:r>
      <w:r>
        <w:rPr>
          <w:b/>
          <w:sz w:val="24"/>
          <w:szCs w:val="24"/>
        </w:rPr>
        <w:t>изаций Республики Саха (Якутия)</w:t>
      </w:r>
    </w:p>
    <w:p>
      <w:pPr>
        <w:pStyle w:val="style157"/>
        <w:spacing w:lineRule="auto" w:line="360"/>
        <w:ind w:firstLine="567"/>
        <w:jc w:val="center"/>
        <w:rPr>
          <w:b/>
          <w:sz w:val="24"/>
          <w:szCs w:val="24"/>
        </w:rPr>
      </w:pPr>
    </w:p>
    <w:tbl>
      <w:tblPr>
        <w:tblStyle w:val="style154"/>
        <w:tblW w:w="9781" w:type="dxa"/>
        <w:tblInd w:w="250" w:type="dxa"/>
        <w:tblLook w:val="04A0" w:firstRow="1" w:lastRow="0" w:firstColumn="1" w:lastColumn="0" w:noHBand="0" w:noVBand="1"/>
      </w:tblPr>
      <w:tblGrid>
        <w:gridCol w:w="709"/>
        <w:gridCol w:w="9072"/>
      </w:tblGrid>
      <w:tr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9072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Размещение информации о Неделе правовой помощи </w:t>
            </w:r>
            <w:r>
              <w:rPr>
                <w:sz w:val="22"/>
                <w:szCs w:val="22"/>
              </w:rPr>
              <w:t xml:space="preserve">семьям </w:t>
            </w:r>
            <w:r>
              <w:rPr>
                <w:sz w:val="22"/>
                <w:szCs w:val="22"/>
              </w:rPr>
              <w:t>на сайте образовательных организаций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стендовой информации о проведении Всероссийского Дня правовой помощи детям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образовательных организаци</w:t>
            </w:r>
            <w:r>
              <w:rPr>
                <w:sz w:val="22"/>
                <w:szCs w:val="22"/>
              </w:rPr>
              <w:t>ях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Тематические классные часы: «Детям о праве», «Каждый ребенок имеет право на защиту», «Мы в ответе за свои поступки», «Правила поведения в интернете и защита от </w:t>
            </w:r>
            <w:r>
              <w:rPr>
                <w:sz w:val="22"/>
                <w:szCs w:val="22"/>
              </w:rPr>
              <w:t>кибербуллинга</w:t>
            </w:r>
            <w:r>
              <w:rPr>
                <w:sz w:val="22"/>
                <w:szCs w:val="22"/>
              </w:rPr>
              <w:t xml:space="preserve">», «Права, обязанность и 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тветственность несовершеннолетних», «Что мы знаем о Конституции РФ?»</w:t>
            </w:r>
            <w:r>
              <w:rPr>
                <w:sz w:val="22"/>
                <w:szCs w:val="22"/>
              </w:rPr>
              <w:t xml:space="preserve">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и обсуждение мультфильмов</w:t>
            </w:r>
            <w:r>
              <w:rPr>
                <w:sz w:val="22"/>
                <w:szCs w:val="22"/>
              </w:rPr>
              <w:t xml:space="preserve">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2" w:type="dxa"/>
            <w:tcBorders/>
          </w:tcPr>
          <w:p>
            <w:pPr>
              <w:pStyle w:val="style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рисунков «Я рисую свои права», «Наши права», «Мои права - мои обязанности», «О5о </w:t>
            </w:r>
            <w:r>
              <w:rPr>
                <w:sz w:val="22"/>
                <w:szCs w:val="22"/>
              </w:rPr>
              <w:t>уонна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сокуон</w:t>
            </w:r>
            <w:r>
              <w:rPr>
                <w:sz w:val="22"/>
                <w:szCs w:val="22"/>
              </w:rPr>
              <w:t>», «Свои права»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«Я рисую свои права!»</w:t>
            </w:r>
            <w:r>
              <w:rPr>
                <w:sz w:val="22"/>
                <w:szCs w:val="22"/>
              </w:rPr>
              <w:t xml:space="preserve"> (летние лагеря)</w:t>
            </w:r>
          </w:p>
        </w:tc>
      </w:tr>
      <w:tr>
        <w:tblPrEx/>
        <w:trPr>
          <w:trHeight w:val="189" w:hRule="atLeast"/>
        </w:trPr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«Сто вопросов взрослому»</w:t>
            </w:r>
            <w:r>
              <w:rPr>
                <w:sz w:val="22"/>
                <w:szCs w:val="22"/>
              </w:rPr>
              <w:t xml:space="preserve">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Консультации, встречи, индивидуальные и групповые беседы на предмет разъяснения интересующих вопросов по защите прав несовершеннолетних для родителей (по запросу)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2" w:type="dxa"/>
            <w:tcBorders/>
          </w:tcPr>
          <w:p>
            <w:pPr>
              <w:pStyle w:val="style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Беседы с обучающимися  по темам «Тебе о праве - право о тебе», «Воинская обязанность – долг каждого гражданина», «Права ребенка – твои права», «Соблюдение правовых норм», «Права и обязанности» «Я и мои права», «Хорошее поведение – залог успеха», </w:t>
            </w:r>
            <w:r>
              <w:rPr>
                <w:rFonts w:eastAsia="Segoe UI"/>
                <w:sz w:val="22"/>
                <w:szCs w:val="22"/>
              </w:rPr>
              <w:t>«Научитесь обращаться за помощью», «</w:t>
            </w:r>
            <w:r>
              <w:rPr>
                <w:color w:val="000000"/>
                <w:sz w:val="22"/>
                <w:szCs w:val="22"/>
              </w:rPr>
              <w:t>Что такое права ребёнка», «Как дружить без ссоры»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«У каждого есть имя», «Жизнь дана на добрые дела»</w:t>
            </w:r>
            <w:r>
              <w:rPr>
                <w:sz w:val="22"/>
                <w:szCs w:val="22"/>
              </w:rPr>
              <w:t xml:space="preserve">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2" w:type="dxa"/>
            <w:tcBorders/>
          </w:tcPr>
          <w:p>
            <w:pPr>
              <w:pStyle w:val="style0"/>
              <w:jc w:val="both"/>
              <w:rPr>
                <w:sz w:val="22"/>
                <w:szCs w:val="22"/>
              </w:rPr>
            </w:pPr>
            <w:r>
              <w:rPr>
                <w:rFonts w:eastAsia="Segoe UI"/>
                <w:sz w:val="22"/>
                <w:szCs w:val="22"/>
              </w:rPr>
              <w:t xml:space="preserve">Индивидуальная работа с детьми, </w:t>
            </w:r>
            <w:r>
              <w:rPr>
                <w:rFonts w:eastAsia="Segoe UI"/>
                <w:sz w:val="22"/>
                <w:szCs w:val="22"/>
              </w:rPr>
              <w:t>находящихся</w:t>
            </w:r>
            <w:r>
              <w:rPr>
                <w:rFonts w:eastAsia="Segoe UI"/>
                <w:sz w:val="22"/>
                <w:szCs w:val="22"/>
              </w:rPr>
              <w:t xml:space="preserve"> в ТЖС, рисование - «Я и моя семья»</w:t>
            </w:r>
            <w:r>
              <w:rPr>
                <w:rFonts w:eastAsia="Segoe UI"/>
                <w:sz w:val="22"/>
                <w:szCs w:val="22"/>
              </w:rPr>
              <w:t xml:space="preserve"> 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Урок-игра «Конвенция о правах ребёнка»</w:t>
            </w:r>
            <w:r>
              <w:rPr>
                <w:sz w:val="22"/>
                <w:szCs w:val="22"/>
              </w:rPr>
              <w:t xml:space="preserve">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 с инспектором ПДН с проведением беседы</w:t>
            </w:r>
            <w:r>
              <w:rPr>
                <w:sz w:val="22"/>
                <w:szCs w:val="22"/>
              </w:rPr>
              <w:t xml:space="preserve">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Встреча с сотрудником ФСП «Деятельность органов принудительного исполнения»  </w:t>
            </w:r>
            <w:r>
              <w:rPr>
                <w:sz w:val="22"/>
                <w:szCs w:val="22"/>
              </w:rPr>
              <w:t>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Встреча со специалистами </w:t>
            </w:r>
            <w:r>
              <w:rPr>
                <w:sz w:val="22"/>
                <w:szCs w:val="22"/>
              </w:rPr>
              <w:t>КДНиЗП</w:t>
            </w:r>
            <w:r>
              <w:rPr>
                <w:sz w:val="22"/>
                <w:szCs w:val="22"/>
              </w:rPr>
              <w:t>, ОУВД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Игра-викторина «Права и обязанности», «Поступок», «Конституционные права»</w:t>
            </w:r>
            <w:r>
              <w:rPr>
                <w:color w:val="000000"/>
                <w:sz w:val="22"/>
                <w:szCs w:val="22"/>
              </w:rPr>
              <w:t>, «Мои права»</w:t>
            </w:r>
            <w:r>
              <w:rPr>
                <w:color w:val="ff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на примере сказок, в которых сюжет отражает социальные явления: "Золушка" - право на отдых, "Красная Шапочка", "Волк и семеро козлят", "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Заюшкина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избушка" -  право на неприкосновенность жилища 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Викторина «Я и закон» </w:t>
            </w:r>
            <w:r>
              <w:rPr>
                <w:sz w:val="22"/>
                <w:szCs w:val="22"/>
              </w:rPr>
              <w:t>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Квест-игра</w:t>
            </w:r>
            <w:r>
              <w:rPr>
                <w:sz w:val="22"/>
                <w:szCs w:val="22"/>
              </w:rPr>
              <w:t xml:space="preserve"> «Все </w:t>
            </w:r>
            <w:r>
              <w:rPr>
                <w:sz w:val="22"/>
                <w:szCs w:val="22"/>
              </w:rPr>
              <w:t>в праве</w:t>
            </w:r>
            <w:r>
              <w:rPr>
                <w:sz w:val="22"/>
                <w:szCs w:val="22"/>
              </w:rPr>
              <w:t xml:space="preserve"> знать о праве»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Игра-путешествие «Права ребенка»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Интеллектуально - правовая игра «</w:t>
            </w:r>
            <w:r>
              <w:rPr>
                <w:sz w:val="22"/>
                <w:szCs w:val="22"/>
              </w:rPr>
              <w:t>Знай</w:t>
            </w:r>
            <w:r>
              <w:rPr>
                <w:sz w:val="22"/>
                <w:szCs w:val="22"/>
              </w:rPr>
              <w:t xml:space="preserve"> свои права, но не забывай обязанности» 1-4 </w:t>
            </w:r>
            <w:r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Интеллектуальная игра «Ума палата»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Викторина  «Правовой лабиринт» 5-11 </w:t>
            </w:r>
            <w:r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072" w:type="dxa"/>
            <w:tcBorders/>
          </w:tcPr>
          <w:p>
            <w:pPr>
              <w:pStyle w:val="style41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Правовая викторина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«Мои права» 1-4 </w:t>
            </w:r>
            <w:r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«Знаешь ли ты свои права?» 5-11 класс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«Законы, которые нас защищают - конкурс знатоков права» 5-11 классы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072" w:type="dxa"/>
            <w:tcBorders/>
          </w:tcPr>
          <w:p>
            <w:pPr>
              <w:pStyle w:val="style41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Правовой </w:t>
            </w:r>
            <w:r>
              <w:rPr>
                <w:sz w:val="22"/>
                <w:szCs w:val="22"/>
              </w:rPr>
              <w:t>квиз</w:t>
            </w:r>
            <w:r>
              <w:rPr>
                <w:sz w:val="22"/>
                <w:szCs w:val="22"/>
              </w:rPr>
              <w:t xml:space="preserve"> «Я гражданин!»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Буклеты «Права ребенка </w:t>
            </w:r>
            <w:r>
              <w:rPr>
                <w:sz w:val="22"/>
                <w:szCs w:val="22"/>
              </w:rPr>
              <w:t>–п</w:t>
            </w:r>
            <w:r>
              <w:rPr>
                <w:sz w:val="22"/>
                <w:szCs w:val="22"/>
              </w:rPr>
              <w:t>рава человека»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«Уголовная, административная ответственность несовершеннолетних» (летние лагеря)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072" w:type="dxa"/>
            <w:tcBorders/>
          </w:tcPr>
          <w:p>
            <w:pPr>
              <w:pStyle w:val="style0"/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true"/>
              </w:rPr>
              <w:t xml:space="preserve">Правовое консультирование семей с детьми, детей находящихся в трудной жизненной ситуации 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072" w:type="dxa"/>
            <w:tcBorders/>
          </w:tcPr>
          <w:p>
            <w:pPr>
              <w:pStyle w:val="style4114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bdr w:val="none" w:sz="0" w:space="0" w:color="auto" w:frame="true"/>
              </w:rPr>
              <w:t>Консультационная помощь детям и их родителям (законным представителям)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072" w:type="dxa"/>
            <w:tcBorders/>
          </w:tcPr>
          <w:p>
            <w:pPr>
              <w:pStyle w:val="style4114"/>
              <w:jc w:val="both"/>
              <w:rPr>
                <w:rFonts w:eastAsia="Times New Roman"/>
                <w:sz w:val="22"/>
                <w:szCs w:val="22"/>
                <w:bdr w:val="none" w:sz="0" w:space="0" w:color="auto" w:frame="true"/>
              </w:rPr>
            </w:pPr>
            <w:r>
              <w:rPr>
                <w:sz w:val="22"/>
                <w:szCs w:val="22"/>
              </w:rPr>
              <w:t>Консультационная помощь по правовым вопросам (с приглашением специалистов</w:t>
            </w:r>
            <w:r>
              <w:rPr>
                <w:sz w:val="22"/>
                <w:szCs w:val="22"/>
              </w:rPr>
              <w:t>)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Ознакомление родителей с основами правового воспитания, 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нормативными актами</w:t>
            </w:r>
            <w:r>
              <w:rPr>
                <w:color w:val="000000"/>
                <w:sz w:val="22"/>
                <w:szCs w:val="22"/>
              </w:rPr>
              <w:t> по вопросам защиты детства: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 Законом «Об образовании», Конвенцией о правах ребенка, Семейным кодексом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9072" w:type="dxa"/>
            <w:tcBorders/>
          </w:tcPr>
          <w:p>
            <w:pPr>
              <w:pStyle w:val="style0"/>
              <w:rPr>
                <w:color w:val="646464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true"/>
              </w:rPr>
              <w:t xml:space="preserve">Информационный час на тему: «Знать, чтобы соблюдать» (правонарушения подростков: понятие, виды и ответственность </w:t>
            </w:r>
            <w:r>
              <w:rPr>
                <w:color w:val="000000"/>
                <w:sz w:val="22"/>
                <w:szCs w:val="22"/>
                <w:bdr w:val="none" w:sz="0" w:space="0" w:color="auto" w:frame="true"/>
              </w:rPr>
              <w:t>согласно законодательства</w:t>
            </w:r>
            <w:r>
              <w:rPr>
                <w:color w:val="000000"/>
                <w:sz w:val="22"/>
                <w:szCs w:val="22"/>
                <w:bdr w:val="none" w:sz="0" w:space="0" w:color="auto" w:frame="true"/>
              </w:rPr>
              <w:t xml:space="preserve"> Российской Федерации) (летние лагеря).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2" w:type="dxa"/>
            <w:tcBorders/>
          </w:tcPr>
          <w:p>
            <w:pPr>
              <w:pStyle w:val="style4112"/>
              <w:rPr/>
            </w:pPr>
            <w:r>
              <w:t>Анкета о знании правовых норм, анкетирование на случай нарушения их прав и свобод в школе и семье</w:t>
            </w:r>
            <w:r>
              <w:rPr>
                <w:color w:val="000000"/>
                <w:bdr w:val="none" w:sz="0" w:space="0" w:color="auto" w:frame="true"/>
              </w:rPr>
              <w:t xml:space="preserve"> «Права ребенка, что я о них знаю» (летние лагеря).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072" w:type="dxa"/>
            <w:tcBorders/>
          </w:tcPr>
          <w:p>
            <w:pPr>
              <w:pStyle w:val="style4112"/>
              <w:rPr/>
            </w:pPr>
            <w:r>
              <w:t>Беседы с родителями на тему «Я – родитель/законный представитель</w:t>
            </w:r>
            <w:bookmarkStart w:id="0" w:name="_GoBack"/>
            <w:bookmarkEnd w:id="0"/>
            <w:r>
              <w:t>»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072" w:type="dxa"/>
            <w:tcBorders/>
          </w:tcPr>
          <w:p>
            <w:pPr>
              <w:pStyle w:val="style4112"/>
              <w:rPr/>
            </w:pPr>
            <w:r>
              <w:rPr>
                <w:rStyle w:val="style4113"/>
              </w:rPr>
              <w:t>Индивидуальные консультации для родителей (законных представителей) «Здоровый образ жизни формируется в семье»,  «Воспитываем добротой»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072" w:type="dxa"/>
            <w:tcBorders/>
          </w:tcPr>
          <w:p>
            <w:pPr>
              <w:pStyle w:val="style4112"/>
              <w:rPr>
                <w:rStyle w:val="style4113"/>
              </w:rPr>
            </w:pPr>
            <w:r>
              <w:rPr>
                <w:rStyle w:val="style4113"/>
              </w:rPr>
              <w:t>Ознакомление с экстренными номерами телефонов по защите прав ребенка</w:t>
            </w:r>
          </w:p>
        </w:tc>
      </w:tr>
      <w:tr>
        <w:tblPrEx/>
        <w:trPr/>
        <w:tc>
          <w:tcPr>
            <w:tcW w:w="709" w:type="dxa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072" w:type="dxa"/>
            <w:tcBorders/>
          </w:tcPr>
          <w:p>
            <w:pPr>
              <w:pStyle w:val="style4112"/>
              <w:rPr>
                <w:rStyle w:val="style4113"/>
              </w:rPr>
            </w:pPr>
            <w:r>
              <w:rPr>
                <w:rStyle w:val="style4113"/>
              </w:rPr>
              <w:t>Ознакомление юридической литературы на правовую тему</w:t>
            </w:r>
          </w:p>
        </w:tc>
      </w:tr>
    </w:tbl>
    <w:p>
      <w:pPr>
        <w:pStyle w:val="style157"/>
        <w:spacing w:lineRule="auto" w:line="360"/>
        <w:ind w:firstLine="709"/>
        <w:jc w:val="both"/>
        <w:rPr>
          <w:sz w:val="28"/>
          <w:szCs w:val="28"/>
        </w:rPr>
      </w:pPr>
    </w:p>
    <w:sectPr>
      <w:headerReference w:type="even" r:id="rId2"/>
      <w:headerReference w:type="default" r:id="rId3"/>
      <w:pgSz w:w="11906" w:h="16838" w:orient="portrait" w:code="9"/>
      <w:pgMar w:top="1276" w:right="567" w:bottom="1134" w:left="1418" w:header="851" w:footer="851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0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002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Segoe UI"/>
    <w:panose1 w:val="020b0502040002020203"/>
    <w:charset w:val="cc"/>
    <w:family w:val="swiss"/>
    <w:pitch w:val="variable"/>
    <w:sig w:usb0="E10022FF" w:usb1="C000E47F" w:usb2="00000029" w:usb3="00000000" w:csb0="000001D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  <w:noProof/>
      </w:rPr>
      <w:t>2</w:t>
    </w:r>
    <w:r>
      <w:rPr>
        <w:rStyle w:val="style41"/>
      </w:rPr>
      <w:fldChar w:fldCharType="end"/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7512D32C"/>
    <w:lvl w:ilvl="0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hybridMultilevel"/>
    <w:tmpl w:val="69C2CD1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1209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9C2CD1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5A2E2AD8"/>
    <w:lvl w:ilvl="0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5"/>
    <w:multiLevelType w:val="hybridMultilevel"/>
    <w:tmpl w:val="69C2CD1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BF6E8A8A"/>
    <w:lvl w:ilvl="0" w:tplc="41604D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0000007"/>
    <w:multiLevelType w:val="hybridMultilevel"/>
    <w:tmpl w:val="69C2C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69C2C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9C2C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40DC8C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00000B"/>
    <w:multiLevelType w:val="hybridMultilevel"/>
    <w:tmpl w:val="69C2C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69C2C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69C2C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DDBAA8CC"/>
    <w:lvl w:ilvl="0" w:tplc="04190001">
      <w:start w:val="5924"/>
      <w:numFmt w:val="bullet"/>
      <w:lvlText w:val=""/>
      <w:lvlJc w:val="left"/>
      <w:pPr>
        <w:ind w:left="720" w:hanging="360"/>
      </w:pPr>
      <w:rPr>
        <w:rFonts w:ascii="Symbol" w:cs="Times New Roman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5900DA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0000010"/>
    <w:multiLevelType w:val="multilevel"/>
    <w:tmpl w:val="49C8E0FC"/>
    <w:lvl w:ilvl="0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0000011"/>
    <w:multiLevelType w:val="hybridMultilevel"/>
    <w:tmpl w:val="400EDC6C"/>
    <w:lvl w:ilvl="0" w:tplc="333286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00000012"/>
    <w:multiLevelType w:val="hybridMultilevel"/>
    <w:tmpl w:val="69C2CD1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6C2E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C6A64BF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17"/>
  </w:num>
  <w:num w:numId="5">
    <w:abstractNumId w:val="20"/>
  </w:num>
  <w:num w:numId="6">
    <w:abstractNumId w:val="14"/>
  </w:num>
  <w:num w:numId="7">
    <w:abstractNumId w:val="10"/>
  </w:num>
  <w:num w:numId="8">
    <w:abstractNumId w:val="19"/>
  </w:num>
  <w:num w:numId="9">
    <w:abstractNumId w:val="8"/>
  </w:num>
  <w:num w:numId="10">
    <w:abstractNumId w:val="12"/>
  </w:num>
  <w:num w:numId="11">
    <w:abstractNumId w:val="7"/>
  </w:num>
  <w:num w:numId="12">
    <w:abstractNumId w:val="13"/>
  </w:num>
  <w:num w:numId="13">
    <w:abstractNumId w:val="11"/>
  </w:num>
  <w:num w:numId="14">
    <w:abstractNumId w:val="18"/>
  </w:num>
  <w:num w:numId="15">
    <w:abstractNumId w:val="3"/>
  </w:num>
  <w:num w:numId="16">
    <w:abstractNumId w:val="5"/>
  </w:num>
  <w:num w:numId="17">
    <w:abstractNumId w:val="1"/>
  </w:num>
  <w:num w:numId="18">
    <w:abstractNumId w:val="9"/>
  </w:num>
  <w:num w:numId="19">
    <w:abstractNumId w:val="4"/>
  </w:num>
  <w:num w:numId="20">
    <w:abstractNumId w:val="0"/>
  </w:num>
  <w:num w:numId="21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08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ru-RU" w:bidi="ar-SA" w:eastAsia="ru-RU"/>
      </w:rPr>
    </w:rPrDefault>
    <w:pPrDefault>
      <w:pPr/>
    </w:pPrDefault>
  </w:docDefaults>
  <w:style w:type="paragraph" w:default="1" w:styleId="style0">
    <w:name w:val="Normal"/>
    <w:next w:val="style0"/>
    <w:qFormat/>
    <w:pPr>
      <w:overflowPunct w:val="false"/>
      <w:autoSpaceDE w:val="false"/>
      <w:autoSpaceDN w:val="false"/>
      <w:adjustRightInd w:val="false"/>
      <w:textAlignment w:val="baseline"/>
    </w:pPr>
    <w:rPr/>
  </w:style>
  <w:style w:type="paragraph" w:styleId="style1">
    <w:name w:val="heading 1"/>
    <w:basedOn w:val="style0"/>
    <w:next w:val="style0"/>
    <w:link w:val="style4097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style2">
    <w:name w:val="heading 2"/>
    <w:basedOn w:val="style0"/>
    <w:next w:val="style0"/>
    <w:link w:val="style4098"/>
    <w:qFormat/>
    <w:pPr>
      <w:keepNext/>
      <w:jc w:val="right"/>
      <w:outlineLvl w:val="1"/>
    </w:pPr>
    <w:rPr>
      <w:b/>
      <w:sz w:val="24"/>
    </w:rPr>
  </w:style>
  <w:style w:type="paragraph" w:styleId="style3">
    <w:name w:val="heading 3"/>
    <w:basedOn w:val="style0"/>
    <w:next w:val="style0"/>
    <w:link w:val="style4099"/>
    <w:qFormat/>
    <w:pPr>
      <w:keepNext/>
      <w:jc w:val="center"/>
      <w:outlineLvl w:val="2"/>
    </w:pPr>
    <w:rPr>
      <w:b/>
      <w:sz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1 Знак"/>
    <w:basedOn w:val="style65"/>
    <w:next w:val="style4097"/>
    <w:link w:val="style1"/>
    <w:rPr>
      <w:rFonts w:ascii="Arial" w:hAnsi="Arial"/>
      <w:b/>
      <w:sz w:val="24"/>
      <w:u w:val="single"/>
    </w:rPr>
  </w:style>
  <w:style w:type="character" w:customStyle="1" w:styleId="style4098">
    <w:name w:val="Заголовок 2 Знак"/>
    <w:basedOn w:val="style65"/>
    <w:next w:val="style4098"/>
    <w:link w:val="style2"/>
    <w:rPr>
      <w:b/>
      <w:sz w:val="24"/>
    </w:rPr>
  </w:style>
  <w:style w:type="character" w:customStyle="1" w:styleId="style4099">
    <w:name w:val="Заголовок 3 Знак"/>
    <w:basedOn w:val="style65"/>
    <w:next w:val="style4099"/>
    <w:link w:val="style3"/>
    <w:rPr>
      <w:b/>
      <w:sz w:val="26"/>
    </w:rPr>
  </w:style>
  <w:style w:type="character" w:customStyle="1" w:styleId="style4100">
    <w:name w:val="Гиперссылка1"/>
    <w:next w:val="style4100"/>
    <w:rPr>
      <w:color w:val="0000ff"/>
      <w:u w:val="single"/>
    </w:rPr>
  </w:style>
  <w:style w:type="character" w:customStyle="1" w:styleId="style4101">
    <w:name w:val="Просмотренная гиперссылка1"/>
    <w:next w:val="style4101"/>
    <w:rPr>
      <w:color w:val="800080"/>
      <w:u w:val="single"/>
    </w:rPr>
  </w:style>
  <w:style w:type="paragraph" w:styleId="style66">
    <w:name w:val="Body Text"/>
    <w:basedOn w:val="style0"/>
    <w:next w:val="style66"/>
    <w:link w:val="style4102"/>
    <w:pPr>
      <w:jc w:val="both"/>
    </w:pPr>
    <w:rPr>
      <w:sz w:val="24"/>
    </w:rPr>
  </w:style>
  <w:style w:type="character" w:customStyle="1" w:styleId="style4102">
    <w:name w:val="Основной текст Знак"/>
    <w:basedOn w:val="style65"/>
    <w:next w:val="style4102"/>
    <w:link w:val="style66"/>
    <w:rPr>
      <w:sz w:val="24"/>
    </w:rPr>
  </w:style>
  <w:style w:type="paragraph" w:styleId="style31">
    <w:name w:val="header"/>
    <w:basedOn w:val="style0"/>
    <w:next w:val="style31"/>
    <w:link w:val="style4103"/>
    <w:pPr>
      <w:tabs>
        <w:tab w:val="center" w:leader="none" w:pos="4677"/>
        <w:tab w:val="right" w:leader="none" w:pos="9355"/>
      </w:tabs>
    </w:pPr>
    <w:rPr/>
  </w:style>
  <w:style w:type="character" w:customStyle="1" w:styleId="style4103">
    <w:name w:val="Верхний колонтитул Знак"/>
    <w:basedOn w:val="style65"/>
    <w:next w:val="style4103"/>
    <w:link w:val="style31"/>
  </w:style>
  <w:style w:type="paragraph" w:styleId="style32">
    <w:name w:val="footer"/>
    <w:basedOn w:val="style0"/>
    <w:next w:val="style32"/>
    <w:link w:val="style4104"/>
    <w:pPr>
      <w:tabs>
        <w:tab w:val="center" w:leader="none" w:pos="4677"/>
        <w:tab w:val="right" w:leader="none" w:pos="9355"/>
      </w:tabs>
    </w:pPr>
    <w:rPr/>
  </w:style>
  <w:style w:type="character" w:customStyle="1" w:styleId="style4104">
    <w:name w:val="Нижний колонтитул Знак"/>
    <w:basedOn w:val="style65"/>
    <w:next w:val="style4104"/>
    <w:link w:val="style32"/>
  </w:style>
  <w:style w:type="paragraph" w:customStyle="1" w:styleId="style4105">
    <w:name w:val="ConsPlusNonformat"/>
    <w:next w:val="style4105"/>
    <w:pPr>
      <w:autoSpaceDE w:val="false"/>
      <w:autoSpaceDN w:val="false"/>
      <w:adjustRightInd w:val="false"/>
    </w:pPr>
    <w:rPr>
      <w:rFonts w:ascii="Courier New" w:cs="Courier New" w:hAnsi="Courier New"/>
    </w:rPr>
  </w:style>
  <w:style w:type="character" w:styleId="style41">
    <w:name w:val="page number"/>
    <w:basedOn w:val="style65"/>
    <w:next w:val="style41"/>
  </w:style>
  <w:style w:type="character" w:styleId="style85">
    <w:name w:val="Hyperlink"/>
    <w:next w:val="style85"/>
    <w:uiPriority w:val="99"/>
    <w:rPr>
      <w:color w:val="0000ff"/>
      <w:u w:val="single"/>
    </w:rPr>
  </w:style>
  <w:style w:type="paragraph" w:styleId="style153">
    <w:name w:val="Balloon Text"/>
    <w:basedOn w:val="style0"/>
    <w:next w:val="style153"/>
    <w:link w:val="style4106"/>
    <w:uiPriority w:val="99"/>
    <w:pPr/>
    <w:rPr>
      <w:rFonts w:ascii="Tahoma" w:cs="Tahoma" w:hAnsi="Tahoma"/>
      <w:sz w:val="16"/>
      <w:szCs w:val="16"/>
    </w:rPr>
  </w:style>
  <w:style w:type="character" w:customStyle="1" w:styleId="style4106">
    <w:name w:val="Текст выноски Знак"/>
    <w:basedOn w:val="style65"/>
    <w:next w:val="style4106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overflowPunct/>
      <w:autoSpaceDE/>
      <w:autoSpaceDN/>
      <w:adjustRightInd/>
      <w:spacing w:after="200" w:lineRule="auto" w:line="276"/>
      <w:ind w:left="720"/>
      <w:textAlignment w:val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yle94">
    <w:name w:val="Normal (Web)"/>
    <w:basedOn w:val="style0"/>
    <w:next w:val="style94"/>
    <w:link w:val="style4107"/>
    <w:qFormat/>
    <w:uiPriority w:val="99"/>
    <w:pPr>
      <w:overflowPunct/>
      <w:autoSpaceDE/>
      <w:autoSpaceDN/>
      <w:adjustRightInd/>
      <w:spacing w:before="100" w:beforeAutospacing="true" w:after="100" w:afterAutospacing="true"/>
      <w:textAlignment w:val="auto"/>
    </w:pPr>
    <w:rPr>
      <w:sz w:val="24"/>
      <w:szCs w:val="24"/>
    </w:rPr>
  </w:style>
  <w:style w:type="character" w:customStyle="1" w:styleId="style4107">
    <w:name w:val="Обычный (веб) Знак"/>
    <w:next w:val="style4107"/>
    <w:link w:val="style94"/>
    <w:uiPriority w:val="99"/>
    <w:rPr>
      <w:sz w:val="24"/>
      <w:szCs w:val="24"/>
    </w:rPr>
  </w:style>
  <w:style w:type="paragraph" w:styleId="style157">
    <w:name w:val="No Spacing"/>
    <w:next w:val="style157"/>
    <w:link w:val="style4108"/>
    <w:qFormat/>
    <w:uiPriority w:val="1"/>
    <w:pPr/>
  </w:style>
  <w:style w:type="character" w:customStyle="1" w:styleId="style4108">
    <w:name w:val="Без интервала Знак"/>
    <w:basedOn w:val="style65"/>
    <w:next w:val="style4108"/>
    <w:link w:val="style157"/>
    <w:uiPriority w:val="1"/>
  </w:style>
  <w:style w:type="character" w:customStyle="1" w:styleId="style4109">
    <w:name w:val="Основной текст (2)_"/>
    <w:basedOn w:val="style65"/>
    <w:next w:val="style4109"/>
    <w:link w:val="style4110"/>
    <w:rPr>
      <w:sz w:val="26"/>
      <w:szCs w:val="26"/>
      <w:shd w:val="clear" w:color="auto" w:fill="ffffff"/>
    </w:rPr>
  </w:style>
  <w:style w:type="paragraph" w:customStyle="1" w:styleId="style4110">
    <w:name w:val="Основной текст (2)"/>
    <w:basedOn w:val="style0"/>
    <w:next w:val="style4110"/>
    <w:link w:val="style4109"/>
    <w:pPr>
      <w:widowControl w:val="false"/>
      <w:shd w:val="clear" w:color="auto" w:fill="ffffff"/>
      <w:overflowPunct/>
      <w:autoSpaceDE/>
      <w:autoSpaceDN/>
      <w:adjustRightInd/>
      <w:spacing w:before="420" w:lineRule="atLeast" w:line="0"/>
      <w:jc w:val="both"/>
      <w:textAlignment w:val="auto"/>
    </w:pPr>
    <w:rPr>
      <w:sz w:val="26"/>
      <w:szCs w:val="26"/>
    </w:rPr>
  </w:style>
  <w:style w:type="character" w:customStyle="1" w:styleId="style4111">
    <w:name w:val="credentials-block__label"/>
    <w:basedOn w:val="style65"/>
    <w:next w:val="style4111"/>
  </w:style>
  <w:style w:type="paragraph" w:customStyle="1" w:styleId="style4112">
    <w:name w:val="Table Paragraph"/>
    <w:basedOn w:val="style0"/>
    <w:next w:val="style4112"/>
    <w:qFormat/>
    <w:uiPriority w:val="1"/>
    <w:pPr>
      <w:widowControl w:val="false"/>
      <w:overflowPunct/>
      <w:adjustRightInd/>
      <w:textAlignment w:val="auto"/>
    </w:pPr>
    <w:rPr>
      <w:sz w:val="22"/>
      <w:szCs w:val="22"/>
      <w:lang w:eastAsia="en-US"/>
    </w:rPr>
  </w:style>
  <w:style w:type="character" w:customStyle="1" w:styleId="style4113">
    <w:name w:val="Основной текст (2) + 11 pt"/>
    <w:basedOn w:val="style65"/>
    <w:next w:val="style4113"/>
    <w:rPr>
      <w:rFonts w:ascii="Times New Roman" w:cs="Times New Roman" w:eastAsia="Times New Roman" w:hAnsi="Times New Roman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bidi="ru-RU" w:eastAsia="ru-RU"/>
    </w:rPr>
  </w:style>
  <w:style w:type="paragraph" w:customStyle="1" w:styleId="style4114">
    <w:name w:val="Default"/>
    <w:next w:val="style4114"/>
    <w:pPr>
      <w:autoSpaceDE w:val="false"/>
      <w:autoSpaceDN w:val="false"/>
      <w:adjustRightInd w:val="false"/>
    </w:pPr>
    <w:rPr>
      <w:rFonts w:eastAsia="宋体"/>
      <w:color w:val="000000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6A89-EF73-4132-89DB-36CB2F1B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527</Words>
  <Pages>1</Pages>
  <Characters>3343</Characters>
  <Application>WPS Office135616331</Application>
  <DocSecurity>0</DocSecurity>
  <Paragraphs>115</Paragraphs>
  <ScaleCrop>false</ScaleCrop>
  <Company>Министерство финансов РС(Я)</Company>
  <LinksUpToDate>false</LinksUpToDate>
  <CharactersWithSpaces>3810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2025-06-11T04:31:03Z</dcterms:created>
  <dc:creator>Отдел РСБИ</dc:creator>
  <keywords>фирменный бланк</keywords>
  <lastModifiedBy>ALT-L29</lastModifiedBy>
  <lastPrinted>2024-10-22T00:08:00Z</lastPrinted>
  <dcterms:modified xsi:type="dcterms:W3CDTF">2025-06-11T04:31:03Z</dcterms:modified>
  <revision>10</revision>
  <dc:subject>фирменный бланк Министерства Финансов РС(Я)</dc:subject>
  <dc:title>BLANKMF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